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3E33" w:rsidRPr="00F23E33" w:rsidRDefault="00F23E33">
      <w:pPr>
        <w:rPr>
          <w:b/>
        </w:rPr>
      </w:pPr>
      <w:r w:rsidRPr="00F23E33">
        <w:rPr>
          <w:b/>
        </w:rPr>
        <w:t>Global Health Courses</w:t>
      </w:r>
      <w:r w:rsidR="00D56BA3">
        <w:rPr>
          <w:b/>
        </w:rPr>
        <w:t xml:space="preserve"> – Winter 202</w:t>
      </w:r>
      <w:r w:rsidR="007111E3">
        <w:rPr>
          <w:b/>
        </w:rPr>
        <w:t>1</w:t>
      </w:r>
    </w:p>
    <w:p w:rsidR="00F23E33" w:rsidRDefault="00F23E33"/>
    <w:tbl>
      <w:tblPr>
        <w:tblStyle w:val="TableGrid"/>
        <w:tblW w:w="14665" w:type="dxa"/>
        <w:jc w:val="center"/>
        <w:tblLayout w:type="fixed"/>
        <w:tblLook w:val="04A0" w:firstRow="1" w:lastRow="0" w:firstColumn="1" w:lastColumn="0" w:noHBand="0" w:noVBand="1"/>
      </w:tblPr>
      <w:tblGrid>
        <w:gridCol w:w="2155"/>
        <w:gridCol w:w="540"/>
        <w:gridCol w:w="342"/>
        <w:gridCol w:w="900"/>
        <w:gridCol w:w="4068"/>
        <w:gridCol w:w="1440"/>
        <w:gridCol w:w="2160"/>
        <w:gridCol w:w="3060"/>
      </w:tblGrid>
      <w:tr w:rsidR="00351079" w:rsidRPr="00064B99" w:rsidTr="007111E3">
        <w:trPr>
          <w:jc w:val="center"/>
        </w:trPr>
        <w:tc>
          <w:tcPr>
            <w:tcW w:w="2155" w:type="dxa"/>
            <w:vAlign w:val="center"/>
          </w:tcPr>
          <w:p w:rsidR="00351079" w:rsidRPr="00C70EB4" w:rsidRDefault="00351079" w:rsidP="00C70EB4">
            <w:pPr>
              <w:rPr>
                <w:b/>
                <w:sz w:val="20"/>
                <w:szCs w:val="20"/>
              </w:rPr>
            </w:pPr>
            <w:r w:rsidRPr="00C70EB4">
              <w:rPr>
                <w:b/>
                <w:sz w:val="20"/>
                <w:szCs w:val="20"/>
              </w:rPr>
              <w:t>Course #</w:t>
            </w:r>
          </w:p>
        </w:tc>
        <w:tc>
          <w:tcPr>
            <w:tcW w:w="540" w:type="dxa"/>
            <w:vAlign w:val="center"/>
          </w:tcPr>
          <w:p w:rsidR="00351079" w:rsidRPr="00C70EB4" w:rsidRDefault="00351079" w:rsidP="00C70EB4">
            <w:pPr>
              <w:rPr>
                <w:b/>
                <w:sz w:val="20"/>
                <w:szCs w:val="20"/>
              </w:rPr>
            </w:pPr>
            <w:r w:rsidRPr="00C70EB4">
              <w:rPr>
                <w:b/>
                <w:sz w:val="20"/>
                <w:szCs w:val="20"/>
              </w:rPr>
              <w:t>Sec</w:t>
            </w:r>
          </w:p>
        </w:tc>
        <w:tc>
          <w:tcPr>
            <w:tcW w:w="342" w:type="dxa"/>
            <w:vAlign w:val="center"/>
          </w:tcPr>
          <w:p w:rsidR="00351079" w:rsidRPr="00C70EB4" w:rsidRDefault="00351079" w:rsidP="00C70EB4">
            <w:pPr>
              <w:rPr>
                <w:b/>
                <w:sz w:val="20"/>
                <w:szCs w:val="20"/>
              </w:rPr>
            </w:pPr>
            <w:r w:rsidRPr="00C70EB4">
              <w:rPr>
                <w:b/>
                <w:sz w:val="20"/>
                <w:szCs w:val="20"/>
              </w:rPr>
              <w:t>CR</w:t>
            </w:r>
          </w:p>
        </w:tc>
        <w:tc>
          <w:tcPr>
            <w:tcW w:w="900" w:type="dxa"/>
            <w:vAlign w:val="center"/>
          </w:tcPr>
          <w:p w:rsidR="00351079" w:rsidRPr="00C70EB4" w:rsidRDefault="00351079" w:rsidP="00C70EB4">
            <w:pPr>
              <w:rPr>
                <w:b/>
                <w:sz w:val="20"/>
                <w:szCs w:val="20"/>
              </w:rPr>
            </w:pPr>
            <w:r w:rsidRPr="00C70EB4">
              <w:rPr>
                <w:b/>
                <w:sz w:val="20"/>
                <w:szCs w:val="20"/>
              </w:rPr>
              <w:t>Grading</w:t>
            </w:r>
          </w:p>
        </w:tc>
        <w:tc>
          <w:tcPr>
            <w:tcW w:w="4068" w:type="dxa"/>
            <w:vAlign w:val="center"/>
          </w:tcPr>
          <w:p w:rsidR="00351079" w:rsidRPr="00C70EB4" w:rsidRDefault="00351079" w:rsidP="00C70EB4">
            <w:pPr>
              <w:rPr>
                <w:b/>
                <w:sz w:val="20"/>
                <w:szCs w:val="20"/>
              </w:rPr>
            </w:pPr>
            <w:r w:rsidRPr="00C70EB4">
              <w:rPr>
                <w:b/>
                <w:sz w:val="20"/>
                <w:szCs w:val="20"/>
              </w:rPr>
              <w:t xml:space="preserve">Title </w:t>
            </w:r>
          </w:p>
        </w:tc>
        <w:tc>
          <w:tcPr>
            <w:tcW w:w="1440" w:type="dxa"/>
            <w:vAlign w:val="center"/>
          </w:tcPr>
          <w:p w:rsidR="00351079" w:rsidRPr="00C70EB4" w:rsidRDefault="00351079" w:rsidP="00C70EB4">
            <w:pPr>
              <w:rPr>
                <w:b/>
                <w:sz w:val="20"/>
                <w:szCs w:val="20"/>
              </w:rPr>
            </w:pPr>
            <w:r w:rsidRPr="00C70EB4">
              <w:rPr>
                <w:b/>
                <w:sz w:val="20"/>
                <w:szCs w:val="20"/>
              </w:rPr>
              <w:t>Instructor(s)</w:t>
            </w:r>
          </w:p>
        </w:tc>
        <w:tc>
          <w:tcPr>
            <w:tcW w:w="2160" w:type="dxa"/>
            <w:vAlign w:val="center"/>
          </w:tcPr>
          <w:p w:rsidR="00351079" w:rsidRPr="00C70EB4" w:rsidRDefault="00351079" w:rsidP="00C70EB4">
            <w:pPr>
              <w:rPr>
                <w:b/>
                <w:sz w:val="20"/>
                <w:szCs w:val="20"/>
              </w:rPr>
            </w:pPr>
            <w:r>
              <w:rPr>
                <w:b/>
                <w:sz w:val="20"/>
                <w:szCs w:val="20"/>
              </w:rPr>
              <w:t>Format</w:t>
            </w:r>
          </w:p>
        </w:tc>
        <w:tc>
          <w:tcPr>
            <w:tcW w:w="3060" w:type="dxa"/>
          </w:tcPr>
          <w:p w:rsidR="00351079" w:rsidRDefault="001E37D0" w:rsidP="00C70EB4">
            <w:pPr>
              <w:rPr>
                <w:b/>
                <w:sz w:val="20"/>
                <w:szCs w:val="20"/>
              </w:rPr>
            </w:pPr>
            <w:r>
              <w:rPr>
                <w:b/>
                <w:sz w:val="20"/>
                <w:szCs w:val="20"/>
              </w:rPr>
              <w:t>Schedule</w:t>
            </w:r>
          </w:p>
        </w:tc>
      </w:tr>
      <w:tr w:rsidR="00351079" w:rsidRPr="00064B99" w:rsidTr="007111E3">
        <w:trPr>
          <w:jc w:val="center"/>
        </w:trPr>
        <w:tc>
          <w:tcPr>
            <w:tcW w:w="2155" w:type="dxa"/>
          </w:tcPr>
          <w:p w:rsidR="00351079" w:rsidRDefault="00351079">
            <w:pPr>
              <w:rPr>
                <w:szCs w:val="20"/>
              </w:rPr>
            </w:pPr>
            <w:r>
              <w:rPr>
                <w:szCs w:val="20"/>
              </w:rPr>
              <w:t>G H 502</w:t>
            </w:r>
          </w:p>
          <w:p w:rsidR="00B21D41" w:rsidRPr="00064B99" w:rsidRDefault="00D56BA3">
            <w:pPr>
              <w:rPr>
                <w:szCs w:val="20"/>
              </w:rPr>
            </w:pPr>
            <w:r>
              <w:rPr>
                <w:szCs w:val="20"/>
              </w:rPr>
              <w:t xml:space="preserve">SLN </w:t>
            </w:r>
            <w:r w:rsidR="007111E3">
              <w:rPr>
                <w:szCs w:val="20"/>
              </w:rPr>
              <w:t>15053</w:t>
            </w:r>
          </w:p>
        </w:tc>
        <w:tc>
          <w:tcPr>
            <w:tcW w:w="540" w:type="dxa"/>
          </w:tcPr>
          <w:p w:rsidR="00351079" w:rsidRPr="00064B99" w:rsidRDefault="00351079">
            <w:pPr>
              <w:rPr>
                <w:szCs w:val="20"/>
              </w:rPr>
            </w:pPr>
            <w:r>
              <w:rPr>
                <w:szCs w:val="20"/>
              </w:rPr>
              <w:t>A</w:t>
            </w:r>
          </w:p>
        </w:tc>
        <w:tc>
          <w:tcPr>
            <w:tcW w:w="342" w:type="dxa"/>
          </w:tcPr>
          <w:p w:rsidR="00351079" w:rsidRPr="00064B99" w:rsidRDefault="00351079">
            <w:pPr>
              <w:rPr>
                <w:szCs w:val="20"/>
              </w:rPr>
            </w:pPr>
            <w:r w:rsidRPr="00064B99">
              <w:rPr>
                <w:szCs w:val="20"/>
              </w:rPr>
              <w:t>1</w:t>
            </w:r>
          </w:p>
        </w:tc>
        <w:tc>
          <w:tcPr>
            <w:tcW w:w="900" w:type="dxa"/>
          </w:tcPr>
          <w:p w:rsidR="00351079" w:rsidRPr="00064B99" w:rsidRDefault="00351079">
            <w:pPr>
              <w:rPr>
                <w:color w:val="000000"/>
                <w:szCs w:val="20"/>
              </w:rPr>
            </w:pPr>
            <w:r w:rsidRPr="00064B99">
              <w:rPr>
                <w:color w:val="000000"/>
                <w:szCs w:val="20"/>
              </w:rPr>
              <w:t>CR/NC</w:t>
            </w:r>
          </w:p>
        </w:tc>
        <w:tc>
          <w:tcPr>
            <w:tcW w:w="4068" w:type="dxa"/>
          </w:tcPr>
          <w:p w:rsidR="00351079" w:rsidRPr="00064B99" w:rsidRDefault="00351079">
            <w:pPr>
              <w:rPr>
                <w:szCs w:val="20"/>
              </w:rPr>
            </w:pPr>
            <w:r>
              <w:rPr>
                <w:color w:val="000000"/>
                <w:szCs w:val="20"/>
              </w:rPr>
              <w:t>C</w:t>
            </w:r>
            <w:r w:rsidR="00A4758A">
              <w:rPr>
                <w:color w:val="000000"/>
                <w:szCs w:val="20"/>
              </w:rPr>
              <w:t>urrent Research and Programs in Global Health</w:t>
            </w:r>
          </w:p>
        </w:tc>
        <w:tc>
          <w:tcPr>
            <w:tcW w:w="1440" w:type="dxa"/>
          </w:tcPr>
          <w:p w:rsidR="00351079" w:rsidRPr="00064B99" w:rsidRDefault="00D56BA3">
            <w:pPr>
              <w:rPr>
                <w:szCs w:val="20"/>
              </w:rPr>
            </w:pPr>
            <w:r>
              <w:rPr>
                <w:szCs w:val="20"/>
              </w:rPr>
              <w:t>McGrath</w:t>
            </w:r>
          </w:p>
        </w:tc>
        <w:tc>
          <w:tcPr>
            <w:tcW w:w="2160" w:type="dxa"/>
          </w:tcPr>
          <w:p w:rsidR="00351079" w:rsidRPr="00064B99" w:rsidRDefault="007111E3">
            <w:pPr>
              <w:rPr>
                <w:szCs w:val="20"/>
              </w:rPr>
            </w:pPr>
            <w:r>
              <w:rPr>
                <w:szCs w:val="20"/>
              </w:rPr>
              <w:t>Online</w:t>
            </w:r>
          </w:p>
        </w:tc>
        <w:tc>
          <w:tcPr>
            <w:tcW w:w="3060" w:type="dxa"/>
          </w:tcPr>
          <w:p w:rsidR="00351079" w:rsidRDefault="00D56BA3" w:rsidP="00FB2D19">
            <w:pPr>
              <w:jc w:val="both"/>
              <w:rPr>
                <w:szCs w:val="20"/>
              </w:rPr>
            </w:pPr>
            <w:r>
              <w:rPr>
                <w:szCs w:val="20"/>
              </w:rPr>
              <w:t>Tues, 330-450</w:t>
            </w:r>
          </w:p>
        </w:tc>
      </w:tr>
      <w:tr w:rsidR="00351079" w:rsidRPr="00064B99" w:rsidTr="007111E3">
        <w:trPr>
          <w:jc w:val="center"/>
        </w:trPr>
        <w:tc>
          <w:tcPr>
            <w:tcW w:w="2155" w:type="dxa"/>
          </w:tcPr>
          <w:p w:rsidR="00351079" w:rsidRDefault="00351079">
            <w:pPr>
              <w:rPr>
                <w:szCs w:val="20"/>
              </w:rPr>
            </w:pPr>
            <w:r>
              <w:rPr>
                <w:szCs w:val="20"/>
              </w:rPr>
              <w:t xml:space="preserve">G H </w:t>
            </w:r>
            <w:r w:rsidR="007111E3">
              <w:rPr>
                <w:szCs w:val="20"/>
              </w:rPr>
              <w:t>543/PHARM 581</w:t>
            </w:r>
          </w:p>
          <w:p w:rsidR="00B21D41" w:rsidRPr="00064B99" w:rsidRDefault="00D56BA3">
            <w:pPr>
              <w:rPr>
                <w:szCs w:val="20"/>
              </w:rPr>
            </w:pPr>
            <w:r>
              <w:rPr>
                <w:szCs w:val="20"/>
              </w:rPr>
              <w:t xml:space="preserve">SLN </w:t>
            </w:r>
            <w:r w:rsidR="007111E3">
              <w:rPr>
                <w:szCs w:val="20"/>
              </w:rPr>
              <w:t>15060</w:t>
            </w:r>
          </w:p>
        </w:tc>
        <w:tc>
          <w:tcPr>
            <w:tcW w:w="540" w:type="dxa"/>
          </w:tcPr>
          <w:p w:rsidR="00351079" w:rsidRPr="00064B99" w:rsidRDefault="00351079">
            <w:pPr>
              <w:rPr>
                <w:szCs w:val="20"/>
              </w:rPr>
            </w:pPr>
            <w:r>
              <w:rPr>
                <w:szCs w:val="20"/>
              </w:rPr>
              <w:t>A</w:t>
            </w:r>
          </w:p>
        </w:tc>
        <w:tc>
          <w:tcPr>
            <w:tcW w:w="342" w:type="dxa"/>
          </w:tcPr>
          <w:p w:rsidR="00351079" w:rsidRPr="00064B99" w:rsidRDefault="007111E3">
            <w:pPr>
              <w:rPr>
                <w:szCs w:val="20"/>
              </w:rPr>
            </w:pPr>
            <w:r>
              <w:rPr>
                <w:szCs w:val="20"/>
              </w:rPr>
              <w:t>2</w:t>
            </w:r>
          </w:p>
        </w:tc>
        <w:tc>
          <w:tcPr>
            <w:tcW w:w="900" w:type="dxa"/>
          </w:tcPr>
          <w:p w:rsidR="00351079" w:rsidRPr="00064B99" w:rsidRDefault="00351079">
            <w:pPr>
              <w:rPr>
                <w:szCs w:val="20"/>
              </w:rPr>
            </w:pPr>
            <w:r>
              <w:rPr>
                <w:szCs w:val="20"/>
              </w:rPr>
              <w:t>CR/NC</w:t>
            </w:r>
          </w:p>
        </w:tc>
        <w:tc>
          <w:tcPr>
            <w:tcW w:w="4068" w:type="dxa"/>
          </w:tcPr>
          <w:p w:rsidR="00351079" w:rsidRPr="00064B99" w:rsidRDefault="007111E3">
            <w:pPr>
              <w:rPr>
                <w:szCs w:val="20"/>
              </w:rPr>
            </w:pPr>
            <w:r>
              <w:rPr>
                <w:szCs w:val="20"/>
              </w:rPr>
              <w:t>Global Health Pharmacy: Medicine, Practice &amp; Policy</w:t>
            </w:r>
          </w:p>
        </w:tc>
        <w:tc>
          <w:tcPr>
            <w:tcW w:w="1440" w:type="dxa"/>
          </w:tcPr>
          <w:p w:rsidR="00351079" w:rsidRPr="00064B99" w:rsidRDefault="007111E3">
            <w:pPr>
              <w:rPr>
                <w:szCs w:val="20"/>
              </w:rPr>
            </w:pPr>
            <w:r>
              <w:rPr>
                <w:szCs w:val="20"/>
              </w:rPr>
              <w:t>Stergachis</w:t>
            </w:r>
          </w:p>
        </w:tc>
        <w:tc>
          <w:tcPr>
            <w:tcW w:w="2160" w:type="dxa"/>
          </w:tcPr>
          <w:p w:rsidR="00351079" w:rsidRPr="00064B99" w:rsidRDefault="007111E3">
            <w:pPr>
              <w:rPr>
                <w:szCs w:val="20"/>
              </w:rPr>
            </w:pPr>
            <w:r>
              <w:rPr>
                <w:szCs w:val="20"/>
              </w:rPr>
              <w:t>Online</w:t>
            </w:r>
          </w:p>
        </w:tc>
        <w:tc>
          <w:tcPr>
            <w:tcW w:w="3060" w:type="dxa"/>
          </w:tcPr>
          <w:p w:rsidR="00FB2D19" w:rsidRDefault="007111E3">
            <w:pPr>
              <w:rPr>
                <w:szCs w:val="20"/>
              </w:rPr>
            </w:pPr>
            <w:r>
              <w:rPr>
                <w:szCs w:val="20"/>
              </w:rPr>
              <w:t>Thurs, 1230 - 220</w:t>
            </w:r>
          </w:p>
        </w:tc>
      </w:tr>
      <w:tr w:rsidR="00351079" w:rsidRPr="00064B99" w:rsidTr="007111E3">
        <w:trPr>
          <w:trHeight w:val="323"/>
          <w:jc w:val="center"/>
        </w:trPr>
        <w:tc>
          <w:tcPr>
            <w:tcW w:w="2155" w:type="dxa"/>
          </w:tcPr>
          <w:p w:rsidR="00351079" w:rsidRDefault="00351079">
            <w:pPr>
              <w:rPr>
                <w:szCs w:val="20"/>
              </w:rPr>
            </w:pPr>
            <w:r>
              <w:rPr>
                <w:szCs w:val="20"/>
              </w:rPr>
              <w:t xml:space="preserve">G H </w:t>
            </w:r>
            <w:r w:rsidR="007111E3">
              <w:rPr>
                <w:szCs w:val="20"/>
              </w:rPr>
              <w:t>590</w:t>
            </w:r>
          </w:p>
          <w:p w:rsidR="00B21D41" w:rsidRPr="00064B99" w:rsidRDefault="00FC0351">
            <w:pPr>
              <w:rPr>
                <w:szCs w:val="20"/>
              </w:rPr>
            </w:pPr>
            <w:r>
              <w:rPr>
                <w:szCs w:val="20"/>
              </w:rPr>
              <w:t>SLN 150</w:t>
            </w:r>
            <w:r w:rsidR="00A4758A">
              <w:rPr>
                <w:szCs w:val="20"/>
              </w:rPr>
              <w:t>65</w:t>
            </w:r>
          </w:p>
        </w:tc>
        <w:tc>
          <w:tcPr>
            <w:tcW w:w="540" w:type="dxa"/>
          </w:tcPr>
          <w:p w:rsidR="00351079" w:rsidRPr="00064B99" w:rsidRDefault="00351079">
            <w:pPr>
              <w:rPr>
                <w:szCs w:val="20"/>
              </w:rPr>
            </w:pPr>
            <w:r>
              <w:rPr>
                <w:szCs w:val="20"/>
              </w:rPr>
              <w:t>A</w:t>
            </w:r>
          </w:p>
        </w:tc>
        <w:tc>
          <w:tcPr>
            <w:tcW w:w="342" w:type="dxa"/>
          </w:tcPr>
          <w:p w:rsidR="00351079" w:rsidRPr="00064B99" w:rsidRDefault="00A4758A">
            <w:pPr>
              <w:rPr>
                <w:szCs w:val="20"/>
              </w:rPr>
            </w:pPr>
            <w:r>
              <w:rPr>
                <w:szCs w:val="20"/>
              </w:rPr>
              <w:t>1</w:t>
            </w:r>
          </w:p>
        </w:tc>
        <w:tc>
          <w:tcPr>
            <w:tcW w:w="900" w:type="dxa"/>
          </w:tcPr>
          <w:p w:rsidR="00351079" w:rsidRPr="00064B99" w:rsidRDefault="007111E3">
            <w:pPr>
              <w:rPr>
                <w:szCs w:val="20"/>
              </w:rPr>
            </w:pPr>
            <w:r>
              <w:rPr>
                <w:szCs w:val="20"/>
              </w:rPr>
              <w:t>CR/NC</w:t>
            </w:r>
          </w:p>
        </w:tc>
        <w:tc>
          <w:tcPr>
            <w:tcW w:w="4068" w:type="dxa"/>
          </w:tcPr>
          <w:p w:rsidR="00351079" w:rsidRPr="00064B99" w:rsidRDefault="00A4758A">
            <w:pPr>
              <w:rPr>
                <w:szCs w:val="20"/>
              </w:rPr>
            </w:pPr>
            <w:r>
              <w:rPr>
                <w:szCs w:val="20"/>
              </w:rPr>
              <w:t>Global Mental Health Research &amp; Practice</w:t>
            </w:r>
          </w:p>
        </w:tc>
        <w:tc>
          <w:tcPr>
            <w:tcW w:w="1440" w:type="dxa"/>
          </w:tcPr>
          <w:p w:rsidR="00351079" w:rsidRPr="00064B99" w:rsidRDefault="007111E3">
            <w:pPr>
              <w:rPr>
                <w:szCs w:val="20"/>
              </w:rPr>
            </w:pPr>
            <w:r>
              <w:rPr>
                <w:szCs w:val="20"/>
              </w:rPr>
              <w:t>Collins</w:t>
            </w:r>
          </w:p>
        </w:tc>
        <w:tc>
          <w:tcPr>
            <w:tcW w:w="2160" w:type="dxa"/>
          </w:tcPr>
          <w:p w:rsidR="00351079" w:rsidRPr="00064B99" w:rsidRDefault="007111E3">
            <w:pPr>
              <w:rPr>
                <w:szCs w:val="20"/>
              </w:rPr>
            </w:pPr>
            <w:r>
              <w:rPr>
                <w:szCs w:val="20"/>
              </w:rPr>
              <w:t>Online</w:t>
            </w:r>
          </w:p>
        </w:tc>
        <w:tc>
          <w:tcPr>
            <w:tcW w:w="3060" w:type="dxa"/>
          </w:tcPr>
          <w:p w:rsidR="00351079" w:rsidRDefault="00A4758A">
            <w:pPr>
              <w:rPr>
                <w:szCs w:val="20"/>
              </w:rPr>
            </w:pPr>
            <w:r>
              <w:rPr>
                <w:szCs w:val="20"/>
              </w:rPr>
              <w:t>Thurs, 230 - 350</w:t>
            </w:r>
          </w:p>
        </w:tc>
      </w:tr>
    </w:tbl>
    <w:p w:rsidR="00F23E33" w:rsidRDefault="00F23E33">
      <w:pPr>
        <w:rPr>
          <w:sz w:val="24"/>
        </w:rPr>
      </w:pPr>
    </w:p>
    <w:p w:rsidR="000C0028" w:rsidRPr="00FB2D19" w:rsidRDefault="000C0028">
      <w:pPr>
        <w:rPr>
          <w:b/>
          <w:bCs/>
          <w:sz w:val="24"/>
          <w:szCs w:val="24"/>
        </w:rPr>
      </w:pPr>
      <w:bookmarkStart w:id="0" w:name="gh556"/>
      <w:bookmarkStart w:id="1" w:name="gh502"/>
      <w:r w:rsidRPr="00FB2D19">
        <w:rPr>
          <w:b/>
          <w:bCs/>
          <w:color w:val="000000"/>
          <w:sz w:val="24"/>
          <w:szCs w:val="24"/>
          <w:shd w:val="clear" w:color="auto" w:fill="FFFFFF"/>
        </w:rPr>
        <w:t>G H 502 C</w:t>
      </w:r>
      <w:r w:rsidR="00A4758A">
        <w:rPr>
          <w:b/>
          <w:bCs/>
          <w:color w:val="000000"/>
          <w:sz w:val="24"/>
          <w:szCs w:val="24"/>
          <w:shd w:val="clear" w:color="auto" w:fill="FFFFFF"/>
        </w:rPr>
        <w:t>urrent Research and Programs</w:t>
      </w:r>
      <w:r w:rsidRPr="00FB2D19">
        <w:rPr>
          <w:b/>
          <w:bCs/>
          <w:color w:val="000000"/>
          <w:sz w:val="24"/>
          <w:szCs w:val="24"/>
          <w:shd w:val="clear" w:color="auto" w:fill="FFFFFF"/>
        </w:rPr>
        <w:t xml:space="preserve"> in Global Health (1)</w:t>
      </w:r>
      <w:r w:rsidR="00386BA8">
        <w:rPr>
          <w:i/>
          <w:iCs/>
          <w:color w:val="000000"/>
          <w:sz w:val="24"/>
          <w:szCs w:val="24"/>
          <w:shd w:val="clear" w:color="auto" w:fill="FFFFFF"/>
        </w:rPr>
        <w:t> C. McGrath</w:t>
      </w:r>
      <w:r w:rsidRPr="00FB2D19">
        <w:rPr>
          <w:color w:val="000000"/>
          <w:sz w:val="24"/>
          <w:szCs w:val="24"/>
          <w:shd w:val="clear" w:color="auto" w:fill="FFFFFF"/>
        </w:rPr>
        <w:br/>
      </w:r>
      <w:bookmarkEnd w:id="1"/>
      <w:r w:rsidR="00A4758A" w:rsidRPr="00A4758A">
        <w:rPr>
          <w:color w:val="000000"/>
          <w:sz w:val="24"/>
          <w:szCs w:val="24"/>
          <w:shd w:val="clear" w:color="auto" w:fill="FFFFFF"/>
        </w:rPr>
        <w:t>Examines current research and programs in Global Health priority areas with an emphasis on the use of research evidence to inform policy and implementation strategies in programmatic settings. Evidence-based approaches to address key global health issues in maternal, adolescent, and child health, infectious diseases, environmental health, and non-communicable diseases will be evaluated.</w:t>
      </w:r>
    </w:p>
    <w:p w:rsidR="000C0028" w:rsidRDefault="000C0028">
      <w:pPr>
        <w:rPr>
          <w:color w:val="000000"/>
          <w:sz w:val="24"/>
          <w:szCs w:val="24"/>
          <w:shd w:val="clear" w:color="auto" w:fill="FFFFFF"/>
        </w:rPr>
      </w:pPr>
      <w:bookmarkStart w:id="2" w:name="gh517"/>
      <w:bookmarkStart w:id="3" w:name="gh561"/>
      <w:bookmarkEnd w:id="0"/>
      <w:r w:rsidRPr="00FB2D19">
        <w:rPr>
          <w:b/>
          <w:bCs/>
          <w:color w:val="000000"/>
          <w:sz w:val="24"/>
          <w:szCs w:val="24"/>
          <w:shd w:val="clear" w:color="auto" w:fill="FFFFFF"/>
        </w:rPr>
        <w:t>G H</w:t>
      </w:r>
      <w:r w:rsidR="00A4758A">
        <w:rPr>
          <w:b/>
          <w:bCs/>
          <w:color w:val="000000"/>
          <w:sz w:val="24"/>
          <w:szCs w:val="24"/>
          <w:shd w:val="clear" w:color="auto" w:fill="FFFFFF"/>
        </w:rPr>
        <w:t xml:space="preserve"> 543/PHARM 581 Global Health Pharmacy: Medicine, Practice &amp; Policy</w:t>
      </w:r>
      <w:r w:rsidRPr="00FB2D19">
        <w:rPr>
          <w:b/>
          <w:bCs/>
          <w:color w:val="000000"/>
          <w:sz w:val="24"/>
          <w:szCs w:val="24"/>
          <w:shd w:val="clear" w:color="auto" w:fill="FFFFFF"/>
        </w:rPr>
        <w:t xml:space="preserve"> (</w:t>
      </w:r>
      <w:r w:rsidR="00A4758A">
        <w:rPr>
          <w:b/>
          <w:bCs/>
          <w:color w:val="000000"/>
          <w:sz w:val="24"/>
          <w:szCs w:val="24"/>
          <w:shd w:val="clear" w:color="auto" w:fill="FFFFFF"/>
        </w:rPr>
        <w:t xml:space="preserve">2) </w:t>
      </w:r>
      <w:r w:rsidR="00A4758A">
        <w:rPr>
          <w:bCs/>
          <w:color w:val="000000"/>
          <w:sz w:val="24"/>
          <w:szCs w:val="24"/>
          <w:shd w:val="clear" w:color="auto" w:fill="FFFFFF"/>
        </w:rPr>
        <w:t>Stergachis</w:t>
      </w:r>
      <w:r w:rsidRPr="00FB2D19">
        <w:rPr>
          <w:color w:val="000000"/>
          <w:sz w:val="24"/>
          <w:szCs w:val="24"/>
          <w:shd w:val="clear" w:color="auto" w:fill="FFFFFF"/>
        </w:rPr>
        <w:br/>
      </w:r>
      <w:bookmarkStart w:id="4" w:name="gh543"/>
      <w:bookmarkEnd w:id="2"/>
      <w:r w:rsidR="00A4758A" w:rsidRPr="00A4758A">
        <w:rPr>
          <w:color w:val="000000"/>
          <w:sz w:val="24"/>
          <w:szCs w:val="24"/>
          <w:shd w:val="clear" w:color="auto" w:fill="FFFFFF"/>
        </w:rPr>
        <w:t xml:space="preserve">Introduces the critical role of pharmaceutical in addressing major diseases (such as HIV/AIDS, malaria, tuberculosis) affecting persons in resource-limited settings. Addresses the wide range of relevant issues, including burden of disease, human resource capacity, regulation, drug safety/pharmacovigilance, drug distribution, </w:t>
      </w:r>
      <w:proofErr w:type="spellStart"/>
      <w:r w:rsidR="00A4758A" w:rsidRPr="00A4758A">
        <w:rPr>
          <w:color w:val="000000"/>
          <w:sz w:val="24"/>
          <w:szCs w:val="24"/>
          <w:shd w:val="clear" w:color="auto" w:fill="FFFFFF"/>
        </w:rPr>
        <w:t>pharmacoeconomics</w:t>
      </w:r>
      <w:proofErr w:type="spellEnd"/>
      <w:r w:rsidR="00A4758A" w:rsidRPr="00A4758A">
        <w:rPr>
          <w:color w:val="000000"/>
          <w:sz w:val="24"/>
          <w:szCs w:val="24"/>
          <w:shd w:val="clear" w:color="auto" w:fill="FFFFFF"/>
        </w:rPr>
        <w:t>, financing, intellectual property, and drug trade policies. Offered: jointly with PHARM 581.</w:t>
      </w:r>
      <w:bookmarkEnd w:id="4"/>
    </w:p>
    <w:p w:rsidR="00A4758A" w:rsidRPr="00FB2D19" w:rsidRDefault="00A4758A" w:rsidP="00A4758A">
      <w:pPr>
        <w:rPr>
          <w:b/>
          <w:bCs/>
          <w:sz w:val="24"/>
          <w:szCs w:val="24"/>
        </w:rPr>
      </w:pPr>
      <w:r w:rsidRPr="00FB2D19">
        <w:rPr>
          <w:b/>
          <w:bCs/>
          <w:color w:val="000000"/>
          <w:sz w:val="24"/>
          <w:szCs w:val="24"/>
          <w:shd w:val="clear" w:color="auto" w:fill="FFFFFF"/>
        </w:rPr>
        <w:t>G H 5</w:t>
      </w:r>
      <w:r>
        <w:rPr>
          <w:b/>
          <w:bCs/>
          <w:color w:val="000000"/>
          <w:sz w:val="24"/>
          <w:szCs w:val="24"/>
          <w:shd w:val="clear" w:color="auto" w:fill="FFFFFF"/>
        </w:rPr>
        <w:t>90 Global Mental Health Research &amp; Practice.</w:t>
      </w:r>
      <w:r w:rsidRPr="00FB2D19">
        <w:rPr>
          <w:b/>
          <w:bCs/>
          <w:color w:val="000000"/>
          <w:sz w:val="24"/>
          <w:szCs w:val="24"/>
          <w:shd w:val="clear" w:color="auto" w:fill="FFFFFF"/>
        </w:rPr>
        <w:t xml:space="preserve"> (1)</w:t>
      </w:r>
      <w:r>
        <w:rPr>
          <w:i/>
          <w:iCs/>
          <w:color w:val="000000"/>
          <w:sz w:val="24"/>
          <w:szCs w:val="24"/>
          <w:shd w:val="clear" w:color="auto" w:fill="FFFFFF"/>
        </w:rPr>
        <w:t> </w:t>
      </w:r>
      <w:r>
        <w:rPr>
          <w:i/>
          <w:iCs/>
          <w:color w:val="000000"/>
          <w:sz w:val="24"/>
          <w:szCs w:val="24"/>
          <w:shd w:val="clear" w:color="auto" w:fill="FFFFFF"/>
        </w:rPr>
        <w:t>Collins</w:t>
      </w:r>
      <w:r w:rsidRPr="00FB2D19">
        <w:rPr>
          <w:color w:val="000000"/>
          <w:sz w:val="24"/>
          <w:szCs w:val="24"/>
          <w:shd w:val="clear" w:color="auto" w:fill="FFFFFF"/>
        </w:rPr>
        <w:br/>
      </w:r>
      <w:r w:rsidRPr="00A4758A">
        <w:rPr>
          <w:sz w:val="24"/>
          <w:szCs w:val="24"/>
        </w:rPr>
        <w:t>T</w:t>
      </w:r>
      <w:r w:rsidRPr="00A4758A">
        <w:rPr>
          <w:sz w:val="24"/>
          <w:szCs w:val="24"/>
        </w:rPr>
        <w:t xml:space="preserve">his course is designed for graduate students exploring research and practice activities focused on mental health in low resource settings.  Situating the student as an actor in global mental health research and practice, the seminar utilizes </w:t>
      </w:r>
      <w:proofErr w:type="spellStart"/>
      <w:r w:rsidRPr="00A4758A">
        <w:rPr>
          <w:sz w:val="24"/>
          <w:szCs w:val="24"/>
        </w:rPr>
        <w:t>Shiffman</w:t>
      </w:r>
      <w:proofErr w:type="spellEnd"/>
      <w:r w:rsidRPr="00A4758A">
        <w:rPr>
          <w:sz w:val="24"/>
          <w:szCs w:val="24"/>
        </w:rPr>
        <w:t xml:space="preserve"> &amp; Smith’s framework for priorities in global health to examine factors that enhance impact in the field of global mental health. Through focused reading, discussion, and lectures, the class will examine the policy community in global mental health, generation of evidence through measurement, and entry into global mental health research and practice as a student and public health professional.  An emphasis of the course will be on helping students to identify and refine their immediate research and practice trajectories.</w:t>
      </w:r>
    </w:p>
    <w:p w:rsidR="00A4758A" w:rsidRPr="00FB2D19" w:rsidRDefault="00A4758A">
      <w:pPr>
        <w:rPr>
          <w:b/>
          <w:bCs/>
          <w:sz w:val="24"/>
          <w:szCs w:val="24"/>
        </w:rPr>
      </w:pPr>
      <w:bookmarkStart w:id="5" w:name="_GoBack"/>
      <w:bookmarkEnd w:id="5"/>
    </w:p>
    <w:bookmarkEnd w:id="3"/>
    <w:sectPr w:rsidR="00A4758A" w:rsidRPr="00FB2D19" w:rsidSect="0035107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639A"/>
    <w:multiLevelType w:val="hybridMultilevel"/>
    <w:tmpl w:val="C514397E"/>
    <w:lvl w:ilvl="0" w:tplc="0344938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E36B61"/>
    <w:multiLevelType w:val="hybridMultilevel"/>
    <w:tmpl w:val="D4CC3090"/>
    <w:lvl w:ilvl="0" w:tplc="0344938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3"/>
    <w:rsid w:val="0000693F"/>
    <w:rsid w:val="00016CE1"/>
    <w:rsid w:val="00064B99"/>
    <w:rsid w:val="000C0028"/>
    <w:rsid w:val="00154D5E"/>
    <w:rsid w:val="0019634D"/>
    <w:rsid w:val="001E37D0"/>
    <w:rsid w:val="001F300E"/>
    <w:rsid w:val="00203455"/>
    <w:rsid w:val="0024266C"/>
    <w:rsid w:val="00351079"/>
    <w:rsid w:val="00386BA8"/>
    <w:rsid w:val="005B7D7B"/>
    <w:rsid w:val="006A5FE6"/>
    <w:rsid w:val="007111E3"/>
    <w:rsid w:val="007E6757"/>
    <w:rsid w:val="007F685F"/>
    <w:rsid w:val="009961FA"/>
    <w:rsid w:val="00A17238"/>
    <w:rsid w:val="00A206B2"/>
    <w:rsid w:val="00A4758A"/>
    <w:rsid w:val="00B21D41"/>
    <w:rsid w:val="00B877C3"/>
    <w:rsid w:val="00BF7C9E"/>
    <w:rsid w:val="00C3226B"/>
    <w:rsid w:val="00C70EB4"/>
    <w:rsid w:val="00D21E93"/>
    <w:rsid w:val="00D56BA3"/>
    <w:rsid w:val="00D73D5E"/>
    <w:rsid w:val="00D97A6C"/>
    <w:rsid w:val="00DD5036"/>
    <w:rsid w:val="00E30B8B"/>
    <w:rsid w:val="00EA6D04"/>
    <w:rsid w:val="00F23E33"/>
    <w:rsid w:val="00F264DE"/>
    <w:rsid w:val="00F61334"/>
    <w:rsid w:val="00FB2D19"/>
    <w:rsid w:val="00FC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01DD"/>
  <w15:docId w15:val="{3EE5BE01-78ED-42D2-9546-89BDB417A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3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3E33"/>
    <w:pPr>
      <w:ind w:left="720"/>
      <w:contextualSpacing/>
    </w:pPr>
  </w:style>
  <w:style w:type="paragraph" w:styleId="HTMLPreformatted">
    <w:name w:val="HTML Preformatted"/>
    <w:basedOn w:val="Normal"/>
    <w:link w:val="HTMLPreformattedChar"/>
    <w:uiPriority w:val="99"/>
    <w:semiHidden/>
    <w:unhideWhenUsed/>
    <w:rsid w:val="00064B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64B9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70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Beschta</dc:creator>
  <cp:lastModifiedBy>Arika Johnson</cp:lastModifiedBy>
  <cp:revision>3</cp:revision>
  <dcterms:created xsi:type="dcterms:W3CDTF">2020-10-29T18:01:00Z</dcterms:created>
  <dcterms:modified xsi:type="dcterms:W3CDTF">2020-10-29T20:12:00Z</dcterms:modified>
</cp:coreProperties>
</file>